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lang w:eastAsia="zh-CN"/>
        </w:rPr>
      </w:pPr>
      <w:r>
        <w:rPr>
          <w:rFonts w:ascii="方正黑体_GBK" w:hAnsi="方正黑体_GBK" w:eastAsia="方正黑体_GBK" w:cs="方正黑体_GBK"/>
          <w:i w:val="0"/>
          <w:iCs w:val="0"/>
          <w:caps w:val="0"/>
          <w:color w:val="333333"/>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center"/>
        <w:rPr>
          <w:rFonts w:hint="default" w:ascii="Helvetica" w:hAnsi="Helvetica" w:eastAsia="Helvetica" w:cs="Helvetica"/>
          <w:i w:val="0"/>
          <w:iCs w:val="0"/>
          <w:caps w:val="0"/>
          <w:color w:val="333333"/>
          <w:spacing w:val="0"/>
          <w:sz w:val="27"/>
          <w:szCs w:val="27"/>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选题指南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1．“选题指南”系方向性条目。申请人须在选题条目基础上，从不同学科领域、不同研究视角和侧重点，设计具体申报题目。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bdr w:val="none" w:color="auto" w:sz="0" w:space="0"/>
          <w:shd w:val="clear" w:fill="FFFFFF"/>
        </w:rPr>
        <w:t>2．申请人也可根据“选题指南”的指导思想和基本要求，结合自身研究兴趣和学术积累自主选题</w:t>
      </w:r>
      <w:r>
        <w:rPr>
          <w:rFonts w:hint="eastAsia" w:ascii="仿宋" w:hAnsi="仿宋" w:eastAsia="仿宋" w:cs="仿宋"/>
          <w:i w:val="0"/>
          <w:iCs w:val="0"/>
          <w:caps w:val="0"/>
          <w:color w:val="333333"/>
          <w:spacing w:val="0"/>
          <w:sz w:val="32"/>
          <w:szCs w:val="32"/>
          <w:bdr w:val="none" w:color="auto" w:sz="0" w:space="0"/>
          <w:shd w:val="clear" w:fill="FFFFFF"/>
          <w:lang w:eastAsia="zh-CN"/>
        </w:rPr>
        <w:t>。</w:t>
      </w:r>
      <w:r>
        <w:rPr>
          <w:rFonts w:hint="eastAsia" w:ascii="仿宋" w:hAnsi="仿宋" w:eastAsia="仿宋" w:cs="仿宋"/>
          <w:i w:val="0"/>
          <w:iCs w:val="0"/>
          <w:caps w:val="0"/>
          <w:color w:val="333333"/>
          <w:spacing w:val="0"/>
          <w:sz w:val="32"/>
          <w:szCs w:val="32"/>
          <w:bdr w:val="none" w:color="auto" w:sz="0" w:space="0"/>
          <w:shd w:val="clear" w:fill="FFFFFF"/>
        </w:rPr>
        <w:t>自选题与按“选题指南”申报的选题在评审程序、评审标准、立项指标、资助强度等方面同等对待</w:t>
      </w:r>
      <w:r>
        <w:rPr>
          <w:rFonts w:hint="eastAsia" w:ascii="仿宋" w:hAnsi="仿宋" w:eastAsia="仿宋" w:cs="仿宋"/>
          <w:i w:val="0"/>
          <w:iCs w:val="0"/>
          <w:caps w:val="0"/>
          <w:color w:val="333333"/>
          <w:spacing w:val="0"/>
          <w:sz w:val="32"/>
          <w:szCs w:val="32"/>
          <w:bdr w:val="none" w:color="auto" w:sz="0" w:space="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bdr w:val="none" w:color="auto" w:sz="0" w:space="0"/>
          <w:shd w:val="clear" w:fill="FFFFFF"/>
        </w:rPr>
        <w:t>3．申报题目的表述应科学、严谨、规范、简明，一般不加副标题</w:t>
      </w:r>
      <w:r>
        <w:rPr>
          <w:rFonts w:hint="eastAsia" w:ascii="仿宋" w:hAnsi="仿宋" w:eastAsia="仿宋" w:cs="仿宋"/>
          <w:i w:val="0"/>
          <w:iCs w:val="0"/>
          <w:caps w:val="0"/>
          <w:color w:val="333333"/>
          <w:spacing w:val="0"/>
          <w:sz w:val="32"/>
          <w:szCs w:val="32"/>
          <w:bdr w:val="none" w:color="auto" w:sz="0" w:space="0"/>
          <w:shd w:val="clear"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40" w:lineRule="atLeast"/>
        <w:ind w:left="0" w:right="0" w:firstLine="0"/>
        <w:jc w:val="center"/>
        <w:rPr>
          <w:rFonts w:hint="default" w:ascii="Helvetica" w:hAnsi="Helvetica" w:eastAsia="Helvetica" w:cs="Helvetica"/>
          <w:i w:val="0"/>
          <w:iCs w:val="0"/>
          <w:caps w:val="0"/>
          <w:color w:val="333333"/>
          <w:spacing w:val="0"/>
          <w:sz w:val="27"/>
          <w:szCs w:val="27"/>
        </w:rPr>
      </w:pPr>
      <w:r>
        <w:rPr>
          <w:rFonts w:hint="eastAsia"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选题指南条目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1．习近平总书记关于重庆工作的重要指示、批示研究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2．“两个确立”的理论逻辑、历史逻辑和实践逻辑研究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3．习近平新时代中国特色社会主义思想原创性贡献研究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4．习近平新时代中国特色社会主义思想的世界观和方法论研究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5．习近平新时代中国特色社会主义思想的世界意义研究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6．习近平新时代中国特色社会主义思想的全球传播研究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7．习近平新时代中国特色社会主义思想对马克思主义人民性理论的发展研究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8．习近平总书记关于中国共产党历史重要论述研究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w:t>
      </w:r>
      <w:r>
        <w:rPr>
          <w:rFonts w:hint="eastAsia" w:ascii="仿宋" w:hAnsi="仿宋" w:eastAsia="仿宋" w:cs="仿宋"/>
          <w:i w:val="0"/>
          <w:iCs w:val="0"/>
          <w:caps w:val="0"/>
          <w:color w:val="333333"/>
          <w:spacing w:val="-6"/>
          <w:kern w:val="0"/>
          <w:sz w:val="32"/>
          <w:szCs w:val="32"/>
          <w:bdr w:val="none" w:color="auto" w:sz="0" w:space="0"/>
          <w:shd w:val="clear" w:fill="FFFFFF"/>
          <w:lang w:val="en-US" w:eastAsia="zh-CN" w:bidi="ar"/>
        </w:rPr>
        <w:t>习近平总书记关于坚持和加强党的全面领导重要论述研究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10．习近平总书记关于依规治党重要论述研究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11．习近平总书记关于完整、准确、全面贯彻新发展理念重要论述研究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12．习近平总书记关于中国式现代化重要论述研究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13．习近平总书记关于高质量发展重要论述研究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14．习近平总书记关于“三农”问题重要论述研究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15．习近平总书记关于人才队伍建设重要论述研究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w:t>
      </w:r>
      <w:r>
        <w:rPr>
          <w:rFonts w:hint="eastAsia" w:ascii="仿宋" w:hAnsi="仿宋" w:eastAsia="仿宋" w:cs="仿宋"/>
          <w:i w:val="0"/>
          <w:iCs w:val="0"/>
          <w:caps w:val="0"/>
          <w:color w:val="333333"/>
          <w:spacing w:val="6"/>
          <w:kern w:val="0"/>
          <w:sz w:val="32"/>
          <w:szCs w:val="32"/>
          <w:bdr w:val="none" w:color="auto" w:sz="0" w:space="0"/>
          <w:shd w:val="clear" w:fill="FFFFFF"/>
          <w:lang w:val="en-US" w:eastAsia="zh-CN" w:bidi="ar"/>
        </w:rPr>
        <w:t>习近平总书记关于铸牢中华民族共同体意识重要论述研究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17．习近平总书记关于国家安全重要论述研究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18．习近平总书记关于哲学社会科学重要论述研究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19．习近平总书记关于历史科学重要论述研究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20．习近平总书记关于档案工作重要论述研究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21．习近平总书记关于红岩精神重要论述研究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22．习近平经济思想与中国特色社会主义政治经济学研究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23．新时代“红岩先锋”变革型组织研究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24．意识形态安全“防护网”构建研究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25．新重庆建设发展目标研究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26．重庆推进中国式现代化实现进程评价指标体系研究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27．重庆转变超大城市发展方式研究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28．国内外宏观形势变化对重庆“十四五”规划实施的影响研究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29．加快打造创新之城、开放之城、便捷之城、宜居之城、生态之城、智慧之城、人文之城的目标和路径研究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30．制度性开放促进西部陆海新通道高质量建设研究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31．重庆建设内陆开放高地研究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32．数字重庆建设研究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33．重庆打造国际一流营商环境研究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34．重庆国资国企高质量发展研究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35．盘活国有低效配置存量资产研究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36．重庆民营经济健康发展研究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37．重庆自由贸易试验区提升研究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38．重庆构建现代化产业体系研究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39．重庆未来产业科创园建设机制及运行模式研究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40．重庆开发区（园区）优化整合研究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41．专特精新企业梯度培育体制机制研究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42．重庆乡村产业价值共创共享机制研究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43．推动重庆发展方式绿色转型研究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44．重庆市数字体育产业发展研究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45．西部金融中心建设的实现路径研究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46．公共资源交易监管体制改革研究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47．重庆市新型农村集体经济组织治理路径研究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48．提高科技成果转化和产业化水平研究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49．页岩气开发利用共享机制研究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50．农业供应链数字化促进重庆乡村振兴的路径研究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51．重庆推动共同富裕的体制机制和政策体系研究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52．重庆市千万农民增收致富政策及实施路径研究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53．重庆城乡融合发展水平测度及提升路径研究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54．健全城乡融合发展体制机制和政策体系研究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55．重庆农村重点领域改革研究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56．加快重庆中心城区“强核提能级”路径研究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57．重庆促进“一区两群”协调发展研究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58．重庆推动山区库区城镇化建设加快实现富民强县研究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59．重庆人口城镇化潜力研究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60．以县域为重要载体的城镇化建设研究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61．推动重庆全面依法治市研究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62．重庆科教兴市、人才强市建设研究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63．重庆市现代职业教育改革研究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64．完善生育支持服务体系研究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65．重庆市城乡托育服务资源供给研究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66．重庆市城市公共健身环境适老性研究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67．我市社区居家养老服务可及性的战略及路径研究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68．医养结合的养老服务体系研究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69．健康中国重庆行动实施研究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70．重庆市“环境与健康”领域交叉融合制度和技术研究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71．重庆文化强市建设研究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72．长江国家文化公园（重庆段）建设研究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73．巴蜀文化旅游走廊建设与巴蜀文化传承的融合策展研究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74．巴蜀石窟考古研究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75．重庆城市国际传播能力建设研究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76．中国共产党战略定力与斗争精神研究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77．中国式现代化的中国特色和本质要求研究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78．以伟大自我革命引领伟大社会革命研究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79．健全用党的创新理论武装全党、教育人民、指导实践工作体系研究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80．建设具有强大凝聚力和引领力的社会主义意识形态研究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81．加快构建中国特色哲学社会科学话语体系研究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82．筑牢中华民族共同体意识研究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83．国家治理体系和治理能力现代化研究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84．全面发展全过程人民民主研究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85．社会主义民主政治制度化、规范化、程序化研究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86．新时代青年奋斗精神的赓续与弘扬研究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87．推进国家安全体系和能力现代化研究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88．增强党组织政治功能和组织功能研究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89．重庆建设统战文化之都的路径研究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90．常态化亲清新型政商关系研究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91．“一带一路”倡议对东盟国家关系影响研究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92．成渝地区双城经济圈相关问题研究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93．西部陆海新通道相关问题研究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94．重庆市新能源产业创新发展机制研究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95．重庆加快布局未来产业发展的战略对策研究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96．深化国企改革研究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97．支持中小微企业发展研究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98．超大特大城市交通拥堵治理研究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99．重庆推进国际化现代都市建设研究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100．重庆市中心城区夜间经济发展研究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101．渝黔人文经济走廊支撑体系研究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102．完善科技创新体系研究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103．重庆防范化解重大风险研究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104．提升重庆消费国际化水平的路径研究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105．城乡高效配送网络体系建设与评价研究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106．企业信用状况综合评价体系研究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107．健全农村产权流转交易市场体系研究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108．健全产教融合实体化运行机制研究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109．公共资源交易监管体制机制研究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110．区县事权与支出责任对等的财政体制研究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111．新时代产业工人队伍建设研究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112．推动乡村产业高质量发展研究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113．加快建设农业强国研究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114．重庆乡村产业韧性建构研究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115．重庆市农业生产保供全要素、全链条、全周期支撑能力研究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116．法治国家、法治政府、法治社会一体建设研究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117．统筹推进国内法治和涉外法治的理论与实践研究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118．健全六大执法司法监督机制研究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119．中医药知识产权法律保护研究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120．安全降碳的法律机制研究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121．粮食安全保障法治研究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122．健全反垄断和反不正当竞争机制研究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123．完善数据基础制度体系研究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124．</w:t>
      </w:r>
      <w:r>
        <w:rPr>
          <w:rFonts w:hint="eastAsia" w:ascii="仿宋" w:hAnsi="仿宋" w:eastAsia="仿宋" w:cs="仿宋"/>
          <w:i w:val="0"/>
          <w:iCs w:val="0"/>
          <w:caps w:val="0"/>
          <w:color w:val="333333"/>
          <w:spacing w:val="-6"/>
          <w:kern w:val="0"/>
          <w:sz w:val="32"/>
          <w:szCs w:val="32"/>
          <w:bdr w:val="none" w:color="auto" w:sz="0" w:space="0"/>
          <w:shd w:val="clear" w:fill="FFFFFF"/>
          <w:lang w:val="en-US" w:eastAsia="zh-CN" w:bidi="ar"/>
        </w:rPr>
        <w:t>新民主主义革命时期中国共产党领导探索法治建设研究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125．新民主主义革命时期革命根据地立法、执法、司法制度建设研究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bookmarkStart w:id="0" w:name="_GoBack"/>
      <w:bookmarkEnd w:id="0"/>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126．红岩精神与坚如磐石的理想信念研究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127．红岩精神与和衷共济的爱国情怀研究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128．红岩精神与不折不挠的凛然斗志研究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129．红岩精神与坚贞不屈的浩然正气研究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130．红岩精神与伟大建党精神关系研究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131．红岩精神与中国共产党人精神谱关系及其比较研究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132．红岩精神形成历史、培育主体研究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133．红岩精神人物研究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134．红岩精神的历史地位和时代价值研究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135．新时代传承弘扬红岩精神研究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136．红岩精神的文献研究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137．红岩村历史文献收集整理研究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138．“红岩精神研究”的学术史研究（1978—2018）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139．抗战时期中国共产党海外形象构建与传播研究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140．抗战时期大后方的英烈纪念研究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141．抗战时期宋庆龄在重庆研究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142．重庆抗战建筑历史研究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143．抗战时期大后方职业教育文献整理与研究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144．抗战重庆民族音乐的整理与研究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145．抗战大后方乡村建设史料整理与研究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146．抗战大后方乡村社会调查资料整理与研究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147．抗战大后方美术教育文献整理与研究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148．重庆抗战金融遗址群研究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149．抗战时期重庆涉外文物旧址研究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150．抗战大后方宗教界抗日救亡史料整理与研究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151．重庆抗战翻译史研究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152．学科体系、学术体系、话语体系构建研究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153．中华优秀传统文化创造性转化、创新性发展研究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154．西南地区传统村落保护发展研究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155．山地考古理论与实践研究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156．水利工程与水文化建设深度融合应用研究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157．重庆山地城市公园体系建构研究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158．民国时期重庆美术社团活动研究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159．民国时期巴渝艺术家论著收集整理与研究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160．传统手工艺的现代性建构研究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161．巴渝古代建筑史研究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162．巴渝传统村落民居文化研究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163．16—18世纪的儒学西传与欧洲现代性启蒙研究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164．长江流域城乡生态文化与绿色空间研究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165．巴渝中医药文化外宣翻译实践与研究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166．外语资源与重庆国际化研究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167．社交聊天机器人媒体应用伦理研究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168．智能传播时代的人机关系研究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169．建设具有重庆特色的城市国际传播工作体制机制研究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170．红色经典的译介与传播研究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171．中国科幻文学的译介与传播研究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172．重庆纪录片现状与发展研究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173．不可移动革命文物系统性保护研究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174．重庆市馆藏中共中央西南局时期文物整理与研究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175．成渝地区新时代文明实践跨区联动研究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176．数字化赋能新时代文明实践的现状及优化对策研究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177．新时代文明实践助推城乡精神文明融合发展路径研究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178．新时代文明实践中心科学有效传播党的创新理论研究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179．红色文化与新时代文明实践中心建设深度融合研究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180．新时代文明实践中心与县级融媒体中心融合发展研究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181．建设新时代文明实践精品示范带路径研究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182．重大疫情防控救治体系和应急能力建设研究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183．社会矛盾源头治理“五张防护网”构建研究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184．提升重庆安全生产和自然灾害防御能力研究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185．推进住房公积金制度改革研究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186．重庆市出生人口特征与变化趋势研究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187．重庆市中医药高质量发展研究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188．基本公共服务均衡性和可及性研究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189．学校家庭社会协同育人机制研究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190．校园突发事件应急预案动态管理机制研究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191．基础教育高质量发展路径研究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192．高校心理健康服务体系建设研究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right="0" w:firstLine="640" w:firstLineChars="200"/>
        <w:jc w:val="left"/>
        <w:textAlignment w:val="auto"/>
        <w:rPr>
          <w:rFonts w:hint="eastAsia" w:ascii="仿宋" w:hAnsi="仿宋" w:eastAsia="仿宋" w:cs="仿宋"/>
          <w:i w:val="0"/>
          <w:iCs w:val="0"/>
          <w:caps w:val="0"/>
          <w:color w:val="333333"/>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2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各相关学科基础理论及理论创新研究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embedRegular r:id="rId1" w:fontKey="{94BF898F-B7DA-4978-9142-0C756F1FEAD6}"/>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embedRegular r:id="rId2" w:fontKey="{2209EA83-BEA4-4366-B1CF-3DA4B37D4972}"/>
  </w:font>
  <w:font w:name="方正小标宋_GBK">
    <w:panose1 w:val="02000000000000000000"/>
    <w:charset w:val="86"/>
    <w:family w:val="auto"/>
    <w:pitch w:val="default"/>
    <w:sig w:usb0="00000001" w:usb1="080E0000" w:usb2="00000000" w:usb3="00000000" w:csb0="00040000" w:csb1="00000000"/>
    <w:embedRegular r:id="rId3" w:fontKey="{2FAC35E3-696C-4F92-AA99-66ABD02B56B4}"/>
  </w:font>
  <w:font w:name="方正仿宋_GBK">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DF238081-4442-445A-ADF3-E0533808CA2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NWMzZWY0YzhmYjJkNmJkMzY2OTE3NGZjMDc0MGUifQ=="/>
  </w:docVars>
  <w:rsids>
    <w:rsidRoot w:val="00000000"/>
    <w:rsid w:val="268C7923"/>
    <w:rsid w:val="457E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3790</Words>
  <Characters>4074</Characters>
  <Lines>0</Lines>
  <Paragraphs>0</Paragraphs>
  <TotalTime>5</TotalTime>
  <ScaleCrop>false</ScaleCrop>
  <LinksUpToDate>false</LinksUpToDate>
  <CharactersWithSpaces>4078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2023-05-12T07:58:54Z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66BD3A48B2EB412FA238E4D2675856DB_12</vt:lpwstr>
  </property>
</Properties>
</file>