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20" w:beforeAutospacing="0" w:after="120" w:afterAutospacing="0"/>
        <w:ind w:left="1680" w:right="168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sz w:val="32"/>
          <w:szCs w:val="32"/>
        </w:rPr>
        <w:t>2017年度国家法治与法学理论研究项目课题指南目录</w:t>
      </w:r>
      <w:bookmarkEnd w:id="0"/>
    </w:p>
    <w:p>
      <w:pPr>
        <w:rPr>
          <w:rFonts w:hint="eastAsia"/>
        </w:rPr>
      </w:pPr>
      <w:r>
        <w:rPr>
          <w:rFonts w:hint="eastAsia"/>
        </w:rPr>
        <w:t>一、 重点课题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1. 民法典合同法编纂问题与建议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2. 优化司法机关职权配置研究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3. 最高法院统一法律适用研究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4. 国家监察体制改革的宪法问题研究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5. 行政公益诉讼研究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6. 社区矫正重大现实问题研究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7. 《律师法》修改研究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8. 公共法律服务体系构建研究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9. 互联网理财监管法律问题研究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10. 以完善社会主义法律体系为宗旨的环境法调整范围问题研究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一般课题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11.  法治文化在依法治国中的功能研究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12.  党内法规的功能与作用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13.  地方的司法改革研究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14.  法官员额制的运行实施研究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15.  人工智能发展中的科技伦理与法律规制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16.  司法认知偏差及其纠正机制研究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17.  民族地区乡村法治研究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18.  乡贤组织在基层社会矛盾化解中的有效性和规范化建设研究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19.  唐代明代职官考核制度研究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20.  清末民国财政法制史研究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21.  新中国刑事政策和刑事立法变迁史研究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22.  全面深化改革与宪法修改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23.  地方立法权研究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24.  我国学龄前儿童受教育权法律保障研究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25.  政府权责边界问题研究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26.  政府与社会资本合作立法研究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27.  行政权力委托问题研究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28.  行政案件跨区域集中管辖与行政审判体制改革研究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29.  行政诉讼一并审理民事争议研究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30.  行政协议理论与审判实务问题研究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31.  规范性文件一并审查制度研究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32.  刑事政策与公共政策的关系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33.  防范和打击新型网络犯罪问题研究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34.  重大生产安全责任事故的刑事责任认定与犯罪预防机制研究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35.  毒品滥用防控戒治体系研究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36.  新形势下人民检察院法律监督权研究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37.  深化监狱体制改革问题研究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38.  刑事案件认罪认罚从宽制度研究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39.  刑事案件证人出庭问题研究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40.  刑事诉讼中的财产权保护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41.  论民事诉讼法中法律审与事实审的界分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42.  民事诉讼中法官庭外调查研究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43.  我国法院副卷制度改革的实证研究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44.  公证工作改革发展问题研究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45.  法律援助值班律师制度研究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46.  中国民法施行法立法问题研究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47.  中国遗产管理法律制度的完善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48.  农村土地三权分置的制度内容与风险防范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49.  数据的法律保护研究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50.  中国商事通则立法研究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51.  商事登记制度改革中的信用风险防范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52.  商个人制度完善的重大理论与立法问题研究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53.  股东平等原则理念下的类别股制度探讨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54.  互联网市场限制竞争行为法律规则研究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55.  事权与支出责任的法治化研究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56.  非税收入相关法律问题研究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57.  《劳动法》修改研究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58.  退休金给付法律保障研究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59.  外国人服务与管理法律问题研究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60.  国有企业境外投资中的资产流失防范机制研究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61.  “一带一路”战略下中国对外投资企业法律制度研究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62.  中美域外取证的法律冲突与博弈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63.  英国“脱欧”对中英双边法律制度的影响研究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64.  地下水污染法律问题研究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65.  生态环境损害赔偿制度研究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——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—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50959"/>
    <w:rsid w:val="25422886"/>
    <w:rsid w:val="4E250959"/>
    <w:rsid w:val="53164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944" w:firstLineChars="200"/>
      <w:outlineLvl w:val="1"/>
    </w:pPr>
    <w:rPr>
      <w:rFonts w:ascii="Arial" w:hAnsi="Arial" w:eastAsia="方正楷体_GBK"/>
      <w:sz w:val="32"/>
    </w:rPr>
  </w:style>
  <w:style w:type="character" w:default="1" w:styleId="4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12" w:lineRule="atLeast"/>
      <w:ind w:left="0" w:right="0"/>
      <w:jc w:val="left"/>
    </w:pPr>
    <w:rPr>
      <w:rFonts w:ascii="宋体" w:hAnsi="宋体" w:eastAsia="宋体" w:cs="宋体"/>
      <w:kern w:val="0"/>
      <w:sz w:val="16"/>
      <w:szCs w:val="16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rFonts w:ascii="宋体" w:hAnsi="宋体" w:eastAsia="宋体" w:cs="宋体"/>
      <w:sz w:val="14"/>
      <w:szCs w:val="14"/>
      <w:bdr w:val="none" w:color="auto" w:sz="0" w:space="0"/>
    </w:rPr>
  </w:style>
  <w:style w:type="character" w:styleId="8">
    <w:name w:val="Hyperlink"/>
    <w:basedOn w:val="4"/>
    <w:uiPriority w:val="0"/>
    <w:rPr>
      <w:color w:val="0000FF"/>
      <w:u w:val="none"/>
    </w:rPr>
  </w:style>
  <w:style w:type="character" w:styleId="9">
    <w:name w:val="HTML Code"/>
    <w:basedOn w:val="4"/>
    <w:uiPriority w:val="0"/>
    <w:rPr>
      <w:rFonts w:ascii="宋体" w:hAnsi="宋体" w:eastAsia="宋体" w:cs="宋体"/>
      <w:sz w:val="14"/>
      <w:szCs w:val="14"/>
      <w:bdr w:val="none" w:color="auto" w:sz="0" w:space="0"/>
    </w:rPr>
  </w:style>
  <w:style w:type="character" w:styleId="10">
    <w:name w:val="HTML Cite"/>
    <w:basedOn w:val="4"/>
    <w:uiPriority w:val="0"/>
    <w:rPr>
      <w:rFonts w:ascii="宋体" w:hAnsi="宋体" w:eastAsia="宋体" w:cs="宋体"/>
      <w:sz w:val="14"/>
      <w:szCs w:val="14"/>
      <w:bdr w:val="none" w:color="auto" w:sz="0" w:space="0"/>
    </w:rPr>
  </w:style>
  <w:style w:type="character" w:customStyle="1" w:styleId="12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2017-07-10T09:05:00Z</dcterms:created>
  <dc:creator>殷铭泽</dc:creator>
  <cp:lastModifiedBy>殷铭泽</cp:lastModifiedBy>
  <dcterms:modified xsi:type="dcterms:W3CDTF">2017-07-10T09:05:49Z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