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黑体_GBK"/>
          <w:sz w:val="32"/>
          <w:szCs w:val="32"/>
        </w:rPr>
      </w:pPr>
      <w:r>
        <w:rPr>
          <w:rFonts w:ascii="Times New Roman" w:hAnsi="Times New Roman" w:eastAsia="方正黑体_GBK"/>
          <w:sz w:val="32"/>
          <w:szCs w:val="32"/>
        </w:rPr>
        <w:t>附件1</w:t>
      </w:r>
    </w:p>
    <w:p>
      <w:pPr>
        <w:spacing w:line="620" w:lineRule="exact"/>
        <w:jc w:val="left"/>
        <w:rPr>
          <w:rFonts w:ascii="Times New Roman" w:hAnsi="Times New Roman" w:eastAsia="方正仿宋_GBK"/>
          <w:sz w:val="33"/>
          <w:szCs w:val="33"/>
        </w:rPr>
      </w:pPr>
    </w:p>
    <w:p>
      <w:pPr>
        <w:widowControl/>
        <w:spacing w:line="620" w:lineRule="exact"/>
        <w:jc w:val="center"/>
        <w:outlineLvl w:val="0"/>
        <w:rPr>
          <w:rFonts w:ascii="Times New Roman" w:hAnsi="Times New Roman" w:eastAsia="方正小标宋_GBK"/>
          <w:sz w:val="44"/>
          <w:szCs w:val="44"/>
        </w:rPr>
      </w:pPr>
      <w:bookmarkStart w:id="0" w:name="_GoBack"/>
      <w:r>
        <w:rPr>
          <w:rFonts w:ascii="Times New Roman" w:hAnsi="Times New Roman" w:eastAsia="方正小标宋_GBK"/>
          <w:sz w:val="44"/>
          <w:szCs w:val="44"/>
        </w:rPr>
        <w:t>202</w:t>
      </w:r>
      <w:r>
        <w:rPr>
          <w:rFonts w:hint="eastAsia" w:ascii="Times New Roman" w:hAnsi="Times New Roman" w:eastAsia="方正小标宋_GBK"/>
          <w:sz w:val="44"/>
          <w:szCs w:val="44"/>
        </w:rPr>
        <w:t>2</w:t>
      </w:r>
      <w:r>
        <w:rPr>
          <w:rFonts w:ascii="Times New Roman" w:hAnsi="Times New Roman" w:eastAsia="方正小标宋_GBK"/>
          <w:sz w:val="44"/>
          <w:szCs w:val="44"/>
        </w:rPr>
        <w:t>年度重庆市体育科研项目研究指南</w:t>
      </w:r>
    </w:p>
    <w:bookmarkEnd w:id="0"/>
    <w:p>
      <w:pPr>
        <w:spacing w:line="620" w:lineRule="exact"/>
        <w:jc w:val="left"/>
        <w:rPr>
          <w:rFonts w:ascii="Times New Roman" w:hAnsi="Times New Roman" w:eastAsia="方正仿宋_GBK"/>
          <w:bCs/>
          <w:color w:val="000000"/>
          <w:kern w:val="0"/>
          <w:sz w:val="32"/>
          <w:szCs w:val="32"/>
        </w:rPr>
      </w:pP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1.重庆市摔跤运动员伤病预防和康复一体化提升研究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考核要求：探索建立我市摔跤运动员伤病预防关键指标评估体系，提供伤病风险监控分析报告，提供体能康复训练干预方案。</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2.核心力量对400米运动员表现能力影响的研究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考核要求：研究对象为我市优秀400米运动员，熟悉400米项目训练特点，能够长期跟队开展训练，提供运动员核心力量评估分析报告，提供综合提升训练方案，提供应用评价报告。</w:t>
      </w:r>
    </w:p>
    <w:p>
      <w:pPr>
        <w:ind w:firstLine="640" w:firstLineChars="200"/>
        <w:jc w:val="left"/>
        <w:rPr>
          <w:rFonts w:hint="eastAsia" w:ascii="Times New Roman" w:hAnsi="Times New Roman" w:eastAsia="方正仿宋_GBK"/>
          <w:sz w:val="32"/>
          <w:szCs w:val="32"/>
        </w:rPr>
      </w:pPr>
      <w:r>
        <w:rPr>
          <w:rFonts w:hint="eastAsia" w:ascii="Times New Roman" w:hAnsi="Times New Roman" w:eastAsia="方正仿宋_GBK"/>
          <w:sz w:val="32"/>
          <w:szCs w:val="32"/>
        </w:rPr>
        <w:t>3.共建网球运动队的数字化体能训练模式研究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考核要求：探索建立基于数字化训练理念、适用于网球运动训练模式，每年为我市共建网球队跟队服务6个月以上，每年为网球优秀教练员和运动员开展讲座2-3次。</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4.基于奥运冠军知识图谱的羽毛球智慧场地系统应用研究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构建低成本、易部署的羽毛球智慧场地系统，摄像头数量不多于6个，可在室内场馆使用；系统可识别场地内羽毛球运动轨迹，并预测羽毛球可能的落点，识别轨迹精度优于0.1m；系统包含以奥运冠军作为专家的羽毛球知识库，专项教练库内容不少于10项。</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5.基于运动参数精准化监测与智能分析系统的羽毛球运动员踝关节扭伤的个体化防护策略制定</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考核要求：建立一套羽毛球运动员踝关节扭伤的个体化防护策略，提供效果评估报告；开发一套具有自主知识产权的运动参数精准化监测与智能分析系统；申报专利1项，发表论文1-2篇。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6.重庆市优秀运动员备战十五届全运会心理素质现状与对策研究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考核要求：提供我市优秀运动员备战十五届全运会心理素质现状调查报告，累计为优秀运动队开展跟队心理服务不少于3个月，提供个性化心理服务方案，提供心理服务应用报告。</w:t>
      </w:r>
    </w:p>
    <w:p>
      <w:pPr>
        <w:spacing w:line="600" w:lineRule="exact"/>
        <w:ind w:firstLine="630"/>
        <w:rPr>
          <w:rFonts w:hint="eastAsia" w:ascii="Times New Roman" w:hAnsi="Times New Roman" w:eastAsia="方正仿宋_GBK"/>
          <w:sz w:val="32"/>
          <w:szCs w:val="32"/>
        </w:rPr>
      </w:pPr>
      <w:r>
        <w:rPr>
          <w:rFonts w:hint="eastAsia" w:ascii="Times New Roman" w:hAnsi="Times New Roman" w:eastAsia="方正仿宋_GBK"/>
          <w:sz w:val="32"/>
          <w:szCs w:val="32"/>
        </w:rPr>
        <w:t>7.基于感恩品质的心理服务对运动员心理疲劳的影响和作用机制应用研究</w:t>
      </w:r>
    </w:p>
    <w:p>
      <w:pPr>
        <w:spacing w:line="600" w:lineRule="exact"/>
        <w:ind w:firstLine="630"/>
        <w:rPr>
          <w:rFonts w:hint="eastAsia" w:ascii="Times New Roman" w:hAnsi="Times New Roman" w:eastAsia="方正仿宋_GBK"/>
          <w:sz w:val="32"/>
          <w:szCs w:val="32"/>
        </w:rPr>
      </w:pPr>
      <w:r>
        <w:rPr>
          <w:rFonts w:hint="eastAsia" w:ascii="Times New Roman" w:hAnsi="Times New Roman" w:eastAsia="方正仿宋_GBK"/>
          <w:sz w:val="32"/>
          <w:szCs w:val="32"/>
        </w:rPr>
        <w:t>考核要求：研究对象为我市竞走优秀运动员，累计开展跟队心理服务不少于6个月，提供心理服务应用报告。</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8.生物标志物在监测优秀耐力运动员赛前水合状态中的应用研究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考核要求：运用尿素氮/肌酐比值、钠浓度、唾液、汗液电解质、血液微量元素等生物标志物，探索解决优秀耐力运动员赛前和赛中水合状态问题，帮助运动员取得好成绩，发表论文1-2篇。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9.药膳结合八段锦养生操在中老年人骨关节疾病的防治应用</w:t>
      </w:r>
    </w:p>
    <w:p>
      <w:pPr>
        <w:ind w:firstLine="640" w:firstLineChars="200"/>
        <w:jc w:val="left"/>
        <w:rPr>
          <w:rFonts w:hint="eastAsia" w:ascii="Times New Roman" w:hAnsi="Times New Roman" w:eastAsia="方正仿宋_GBK"/>
          <w:sz w:val="32"/>
          <w:szCs w:val="32"/>
        </w:rPr>
      </w:pPr>
      <w:r>
        <w:rPr>
          <w:rFonts w:hint="eastAsia" w:ascii="Times New Roman" w:hAnsi="Times New Roman" w:eastAsia="方正仿宋_GBK"/>
          <w:sz w:val="32"/>
          <w:szCs w:val="32"/>
        </w:rPr>
        <w:t>考核要求：探索和建立药膳结合八段锦养生操对中老年人骨关节疾病的防治方法，举办公益讲座1-2次，发表论文1篇。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10.运动康复对冠心病患者疗效的研究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考核要求：探索和建立冠心病患者运动康复体系，提供冠心病患者运动康复指导手册，开展公益讲座1-2次，发表论文1-2篇。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11.中低强度有氧运动对多囊卵巢综合征患者妊娠结局和代谢状态影响的应用研究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考核要求：探索不同中低强度的有氧运动方式对改善多囊卵巢综合征患者妊娠结局和代谢功能紊乱的影响，为运动干预改善多囊卵巢综合征患者妊娠结局的有效性、提高生育率提供对策建议，发表论文1-2篇。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12.有氧运动联合抗阻训练对糖尿病患者糖代谢与运动能力改善的应用研究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考核要求：提供我市糖尿病患者数据分析报告，分类提出有氧运动联合抗阻训练干预策略，提供应用研究报告，至少开展公益讲座或培训3-5次。</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13.科学锻炼、营养膳食对胃肠紊乱患者功能恢复的应用研究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考核要求：改善胃肠紊乱患者重要代谢参数，探索胃肠紊乱患者最优化的科学锻炼和膳食干预处方组合，提供技术方案应用报告，开展公益讲座1-2场，发表论文1-2篇。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14.不同运动方式对非酒精性脂肪肝合并肥胖人群影响的应用研究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考核要求：改善非酒精性脂肪肝合并肥胖患者肝损伤和肥胖程度及其他重要代谢参数，探索制定不同运动方式干预方案，提供应用报告，开展公益讲座1-2场，发表论文1-2篇。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15.重庆市慢阻肺患者肺康复运动方案制定与应用研究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考核要求：提供我市慢阻肺人群肺康复运动的现状调查报告，制定针对性强切实可行的运动处方，并提供运动处方应用报告，开展公益讲座或培训1-2场，发表论文1篇。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16.俱乐部赛事体系构建与重庆市青少年网球人才培养协同发展研究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考核要求：全面梳理我市青少年网球赛事发展的组织架构和体系，对存在的问题提出解决方案和应对策略，发表论文1篇。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17.“健康中国”背景下体育传统项目学校运动队建设探索研究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考核要求：深入调查体育传统项目学校运动队现状，提供调查报告，探索“健康中国”背景下我市体育传统项目学校运动队建设路径，发表论文1-2篇。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18.重庆市儿童青少年身体素养现状、成因及对策研究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考核要求：通过多种调查方式，提供数据调查方案，提供我市儿童青少年身体素养调查报告，开展公益讲座1-2次。</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19.运动心肺试验对重庆市青少年心肺功能评价及应用的调查研究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考核要求：调查我市青少年运动心肺功能和心肺储备的现状，检测500例以上青少年的运动心肺功能，计算出不同年龄阶段青少年的运动强度的推荐参数，开展科普讲座2-3次，发表论文1篇。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20.篮球运动对青少年身心健康发展的干预研究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考核要求：调查我市青少年身心健康发展的现状，构建篮球运动促进青少年身心健康发展的实施路径，开展公益讲座1-2场，发表论文1-2篇。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21.重庆市大学生骨质状况调查与相关影响因素研究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考核要求：提供我市大学生骨质状况调查报告，开展公益讲座或培训2-3场，发表论文1篇。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22.体医融合背景下，重庆市青少年运动体质健康评估体系研究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考核要求：探索建立基于我市青少年的运动体质健康评估体系，提供适用于青少年的的运动处方，开展公益讲座1-2场，发表论文1-2篇。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23.不同人群运动损伤预防与急救知识掌握程度调查研究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考核要求：提交调查分析报告，提交培训前后运动损伤的预防与急救知识掌握情况对比分析报告，提供运动损伤与急救知识与技能培训指南，开展公益讲座或培训2-3场。</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24.协同管理视角下社会体育指导员社区服务精准化的实践路径研究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考核要求：打造2-3个具体特色的社会体育指导员社区服务精准化样板社区，制定社会体育指导员社区服务指导意见，发表论文1篇。</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25.成渝地区双城经济圈体育竞赛表演业一体化发展研究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考核要求：厘清成渝地区双城经济圈体育竞赛表演业发展现状、困境与发展路径，构建成渝地区双城经济圈体育竞赛表演业一体化发展机制及优化策略。</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26.体育产业与重庆乡村振兴融合发展研究</w:t>
      </w:r>
    </w:p>
    <w:p>
      <w:pPr>
        <w:spacing w:line="600" w:lineRule="exact"/>
        <w:ind w:firstLine="630"/>
        <w:rPr>
          <w:rFonts w:hint="eastAsia" w:ascii="Times New Roman" w:hAnsi="Times New Roman" w:eastAsia="方正仿宋_GBK"/>
          <w:sz w:val="32"/>
          <w:szCs w:val="32"/>
        </w:rPr>
      </w:pPr>
      <w:r>
        <w:rPr>
          <w:rFonts w:hint="eastAsia" w:ascii="Times New Roman" w:hAnsi="Times New Roman" w:eastAsia="方正仿宋_GBK"/>
          <w:sz w:val="32"/>
          <w:szCs w:val="32"/>
        </w:rPr>
        <w:t>考核要求：提供我市体育产业和乡村振兴现状调查报告，探索体育产业助力我市乡村振兴的实施路径，及其在乡村振兴中持续发展的长效机制。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27.基于全民健身与全民健康深度融合发展的重庆市大众健身科学性提升路径研究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考核要求：提供我市全民健身现状调查报告，构建提升我市全民健身科学性的实施路径，分类制定科学健身指南，开展公益讲座2-3场。</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28.体教融合背景下，重庆市青少年健康促进体系构建研究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考核要求：通过多种方式调查我市青少年健康现状，提供调查分析报告，立足体教融合探索建立促进我市青少年健康发展的实施路径，构建我市青少年健康促进体系模型，开展公益讲座1-2场。</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29.人</w:t>
      </w:r>
      <w:r>
        <w:rPr>
          <w:rFonts w:hint="eastAsia" w:ascii="Times New Roman" w:hAnsi="Times New Roman" w:eastAsia="方正仿宋_GBK"/>
          <w:spacing w:val="-6"/>
          <w:sz w:val="32"/>
          <w:szCs w:val="32"/>
        </w:rPr>
        <w:t>口老龄化背景下成渝经济圈体养产业融合发展策略研究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考核要求：调研成渝经济圈体育产业与养老产业发展现状，分析存在的问题，研究对策建议，探索建立成渝经济圈“体育+养老”的人口老龄化背景下的产业融合发展模式。</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30.媒介融合视阈下重庆体育产业创新发展研究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考核要求：提供我市体育产业发展现状调查报告，探索我市</w:t>
      </w:r>
      <w:r>
        <w:rPr>
          <w:rFonts w:ascii="Times New Roman" w:hAnsi="Times New Roman" w:eastAsia="方正仿宋_GBK"/>
          <w:sz w:val="32"/>
          <w:szCs w:val="32"/>
        </w:rPr>
        <w:t>体育</w:t>
      </w:r>
      <w:r>
        <w:rPr>
          <w:rFonts w:hint="eastAsia" w:ascii="Times New Roman" w:hAnsi="Times New Roman" w:eastAsia="方正仿宋_GBK"/>
          <w:sz w:val="32"/>
          <w:szCs w:val="32"/>
        </w:rPr>
        <w:t>产业与其他行业</w:t>
      </w:r>
      <w:r>
        <w:rPr>
          <w:rFonts w:ascii="Times New Roman" w:hAnsi="Times New Roman" w:eastAsia="方正仿宋_GBK"/>
          <w:sz w:val="32"/>
          <w:szCs w:val="32"/>
        </w:rPr>
        <w:t>融合发展的路径</w:t>
      </w:r>
      <w:r>
        <w:rPr>
          <w:rFonts w:hint="eastAsia" w:ascii="Times New Roman" w:hAnsi="Times New Roman" w:eastAsia="方正仿宋_GBK"/>
          <w:sz w:val="32"/>
          <w:szCs w:val="32"/>
        </w:rPr>
        <w:t>，提供我市体育产业创新发展的决策建议。</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31.光电枪射击对8-15岁青少年认知能力和视力的影响研究</w:t>
      </w:r>
    </w:p>
    <w:p>
      <w:pPr>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考核要求：提供光电枪射击对青少年认知能力和视力影响的咨询报告，开展公益讲座1-2场，发表论文1篇。</w:t>
      </w:r>
    </w:p>
    <w:p>
      <w:pPr>
        <w:spacing w:line="600" w:lineRule="exact"/>
        <w:rPr>
          <w:rFonts w:hint="eastAsia" w:ascii="Times New Roman" w:hAnsi="Times New Roman" w:eastAsia="方正仿宋_GBK"/>
          <w:sz w:val="32"/>
          <w:szCs w:val="32"/>
        </w:rPr>
      </w:pPr>
    </w:p>
    <w:p>
      <w:pPr>
        <w:spacing w:line="600" w:lineRule="exact"/>
        <w:rPr>
          <w:rFonts w:hint="eastAsia" w:ascii="Times New Roman" w:hAnsi="Times New Roman" w:eastAsia="方正仿宋_GBK"/>
          <w:sz w:val="32"/>
          <w:szCs w:val="32"/>
        </w:rPr>
      </w:pPr>
    </w:p>
    <w:p>
      <w:pPr>
        <w:spacing w:line="600" w:lineRule="exact"/>
        <w:rPr>
          <w:rFonts w:hint="eastAsia" w:ascii="Times New Roman" w:hAnsi="Times New Roman" w:eastAsia="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NWMzZWY0YzhmYjJkNmJkMzY2OTE3NGZjMDc0MGUifQ=="/>
  </w:docVars>
  <w:rsids>
    <w:rsidRoot w:val="5C3729B5"/>
    <w:rsid w:val="5C372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2022-05-12T09:33:00Z</dcterms:created>
  <dc:creator>殷铭泽</dc:creator>
  <cp:lastModifiedBy>殷铭泽</cp:lastModifiedBy>
  <dcterms:modified xsi:type="dcterms:W3CDTF">2022-05-12T09:34:28Z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CC3CF92A07724869B548E69E79B7F0A6</vt:lpwstr>
  </property>
</Properties>
</file>